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47" w:rsidRPr="00C922D3" w:rsidRDefault="00945947" w:rsidP="00945947">
      <w:pPr>
        <w:pStyle w:val="Ttulo2"/>
        <w:ind w:left="1134"/>
        <w:rPr>
          <w:rFonts w:cstheme="minorHAnsi"/>
          <w:b w:val="0"/>
          <w:sz w:val="28"/>
          <w:szCs w:val="44"/>
        </w:rPr>
      </w:pPr>
      <w:bookmarkStart w:id="0" w:name="_Toc133217444"/>
      <w:bookmarkStart w:id="1" w:name="_GoBack"/>
      <w:bookmarkEnd w:id="1"/>
      <w:r w:rsidRPr="00C922D3">
        <w:rPr>
          <w:rFonts w:cstheme="minorHAnsi"/>
          <w:sz w:val="28"/>
          <w:szCs w:val="44"/>
        </w:rPr>
        <w:t>Objetivos institucionales.</w:t>
      </w:r>
      <w:bookmarkEnd w:id="0"/>
    </w:p>
    <w:p w:rsidR="00945947" w:rsidRPr="00F92BC7" w:rsidRDefault="00945947" w:rsidP="00945947">
      <w:pPr>
        <w:ind w:left="567"/>
        <w:rPr>
          <w:rFonts w:cstheme="minorHAnsi"/>
          <w:b/>
          <w:sz w:val="24"/>
          <w:szCs w:val="44"/>
        </w:rPr>
      </w:pPr>
    </w:p>
    <w:p w:rsidR="00945947" w:rsidRPr="00C922D3" w:rsidRDefault="00945947" w:rsidP="00945947">
      <w:pPr>
        <w:ind w:left="1134"/>
        <w:rPr>
          <w:rFonts w:cstheme="minorHAnsi"/>
          <w:b/>
          <w:sz w:val="28"/>
          <w:szCs w:val="44"/>
        </w:rPr>
      </w:pPr>
      <w:r w:rsidRPr="00C922D3">
        <w:rPr>
          <w:rFonts w:cstheme="minorHAnsi"/>
          <w:b/>
          <w:sz w:val="28"/>
          <w:szCs w:val="44"/>
        </w:rPr>
        <w:t>Objetivo general:</w:t>
      </w:r>
    </w:p>
    <w:p w:rsidR="00945947" w:rsidRPr="00F92BC7" w:rsidRDefault="00945947" w:rsidP="00945947">
      <w:pPr>
        <w:spacing w:after="0" w:line="240" w:lineRule="auto"/>
        <w:ind w:left="1134"/>
        <w:jc w:val="both"/>
        <w:rPr>
          <w:rFonts w:eastAsia="Times New Roman" w:cstheme="minorHAnsi"/>
          <w:b/>
          <w:sz w:val="32"/>
          <w:szCs w:val="28"/>
          <w:lang w:eastAsia="es-GT"/>
        </w:rPr>
      </w:pPr>
      <w:r w:rsidRPr="00F92BC7">
        <w:rPr>
          <w:rFonts w:eastAsia="Times New Roman" w:cstheme="minorHAnsi"/>
          <w:b/>
          <w:bCs/>
          <w:color w:val="000000"/>
          <w:sz w:val="28"/>
          <w:szCs w:val="24"/>
          <w:lang w:eastAsia="es-GT"/>
        </w:rPr>
        <w:t>“Fortalecimiento de las capacidades institucionales para la administración eficiente de los bienes”.</w:t>
      </w:r>
    </w:p>
    <w:p w:rsidR="00945947" w:rsidRPr="00C922D3" w:rsidRDefault="00945947" w:rsidP="00945947">
      <w:pPr>
        <w:ind w:left="1134"/>
        <w:rPr>
          <w:rFonts w:cstheme="minorHAnsi"/>
          <w:b/>
          <w:sz w:val="28"/>
          <w:szCs w:val="44"/>
        </w:rPr>
      </w:pPr>
      <w:r w:rsidRPr="00F92BC7">
        <w:rPr>
          <w:rFonts w:eastAsia="Times New Roman" w:cstheme="minorHAnsi"/>
          <w:sz w:val="24"/>
          <w:szCs w:val="24"/>
          <w:lang w:eastAsia="es-GT"/>
        </w:rPr>
        <w:br/>
      </w:r>
      <w:r w:rsidRPr="00C922D3">
        <w:rPr>
          <w:rFonts w:cstheme="minorHAnsi"/>
          <w:b/>
          <w:sz w:val="28"/>
          <w:szCs w:val="44"/>
        </w:rPr>
        <w:t>Objetivos Estratégicos: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</w:rPr>
        <w:t>Recepción eficiente de los bienes en proceso o declarados en extinción de dominio.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</w:rPr>
        <w:t>Gestión eficiente de los recursos con los que se dispone, para el mantenimiento y cuidado de los bienes que se tengan bajo la administración de la SENABED.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</w:rPr>
        <w:t>Desarrollar e implementar estrategias para incrementar el número de contratistas inscritos.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</w:rPr>
        <w:t xml:space="preserve">Desarrollar estrategias de mercadeo para incrementar la productividad de los bienes. 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</w:rPr>
        <w:t>Fortalecer los procesos para la enajenación de bienes inmuebles aprobados por el CONABED.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</w:rPr>
        <w:t>Mejora continua del proceso de traslado de bienes que recibe la DCR a la DAB para su enajenación.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  <w:lang w:val="es-MX"/>
        </w:rPr>
        <w:t>Optimizar la administración y productividad de las inversiones.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  <w:lang w:val="es-MX"/>
        </w:rPr>
        <w:t>Coordinar la implementación de las acciones de materia de control interno.</w:t>
      </w:r>
    </w:p>
    <w:p w:rsidR="00945947" w:rsidRPr="00F92BC7" w:rsidRDefault="00945947" w:rsidP="00945947">
      <w:pPr>
        <w:numPr>
          <w:ilvl w:val="0"/>
          <w:numId w:val="2"/>
        </w:numPr>
        <w:tabs>
          <w:tab w:val="clear" w:pos="720"/>
          <w:tab w:val="num" w:pos="1701"/>
        </w:tabs>
        <w:spacing w:after="0"/>
        <w:ind w:left="1701" w:hanging="567"/>
        <w:jc w:val="both"/>
        <w:rPr>
          <w:rFonts w:cstheme="minorHAnsi"/>
          <w:bCs/>
          <w:sz w:val="24"/>
          <w:szCs w:val="44"/>
        </w:rPr>
      </w:pPr>
      <w:r w:rsidRPr="00F92BC7">
        <w:rPr>
          <w:rFonts w:cstheme="minorHAnsi"/>
          <w:bCs/>
          <w:sz w:val="24"/>
          <w:szCs w:val="44"/>
          <w:lang w:val="es-MX"/>
        </w:rPr>
        <w:t>Fortalecer las condiciones y capacidades del recurso humano para fomentar una cultura organizacional integral.</w:t>
      </w:r>
    </w:p>
    <w:p w:rsidR="00710AF3" w:rsidRDefault="00710AF3"/>
    <w:sectPr w:rsidR="00710AF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80" w:rsidRDefault="008E0180" w:rsidP="00C16568">
      <w:pPr>
        <w:spacing w:after="0" w:line="240" w:lineRule="auto"/>
      </w:pPr>
      <w:r>
        <w:separator/>
      </w:r>
    </w:p>
  </w:endnote>
  <w:endnote w:type="continuationSeparator" w:id="0">
    <w:p w:rsidR="008E0180" w:rsidRDefault="008E0180" w:rsidP="00C1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80" w:rsidRDefault="008E0180" w:rsidP="00C16568">
      <w:pPr>
        <w:spacing w:after="0" w:line="240" w:lineRule="auto"/>
      </w:pPr>
      <w:r>
        <w:separator/>
      </w:r>
    </w:p>
  </w:footnote>
  <w:footnote w:type="continuationSeparator" w:id="0">
    <w:p w:rsidR="008E0180" w:rsidRDefault="008E0180" w:rsidP="00C1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8" w:rsidRDefault="00DF7C81">
    <w:pPr>
      <w:pStyle w:val="Encabezado"/>
    </w:pPr>
    <w:r>
      <w:rPr>
        <w:rFonts w:ascii="Arial" w:hAnsi="Arial" w:cs="Arial"/>
        <w:noProof/>
        <w:color w:val="000000"/>
        <w:bdr w:val="none" w:sz="0" w:space="0" w:color="auto" w:frame="1"/>
        <w:lang w:eastAsia="es-GT"/>
      </w:rPr>
      <w:drawing>
        <wp:inline distT="0" distB="0" distL="0" distR="0" wp14:anchorId="431405F9" wp14:editId="723605EF">
          <wp:extent cx="3600450" cy="666750"/>
          <wp:effectExtent l="0" t="0" r="0" b="0"/>
          <wp:docPr id="1" name="Imagen 1" descr="https://lh5.googleusercontent.com/FPT9lYzEOs7fb6uywtgy_k9VDAZZCAkWC8ZWSH4H-YrBWE8MariFWdrXn4KPRcfQCVNo_b7pjjOGYT_J2nDUB4jm6aSKcVMcut4vkAfwcVhoCOlccXMSFXGOgJhLmLJrIlDtegxe7NN4GFlrtaah-q3Bv_T1EW0hWuBMKtRft2JDUDtxdzWwSZOfQDvW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FPT9lYzEOs7fb6uywtgy_k9VDAZZCAkWC8ZWSH4H-YrBWE8MariFWdrXn4KPRcfQCVNo_b7pjjOGYT_J2nDUB4jm6aSKcVMcut4vkAfwcVhoCOlccXMSFXGOgJhLmLJrIlDtegxe7NN4GFlrtaah-q3Bv_T1EW0hWuBMKtRft2JDUDtxdzWwSZOfQDvW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5CB8"/>
    <w:multiLevelType w:val="multilevel"/>
    <w:tmpl w:val="84E26C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F0216A5"/>
    <w:multiLevelType w:val="hybridMultilevel"/>
    <w:tmpl w:val="CF625C24"/>
    <w:lvl w:ilvl="0" w:tplc="6AA6B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28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C2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0A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EC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67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A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44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C8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47"/>
    <w:rsid w:val="00710AF3"/>
    <w:rsid w:val="008E0180"/>
    <w:rsid w:val="00945947"/>
    <w:rsid w:val="00C16568"/>
    <w:rsid w:val="00DF7C81"/>
    <w:rsid w:val="00E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691CD"/>
  <w15:chartTrackingRefBased/>
  <w15:docId w15:val="{9CFE9B87-E62D-4D06-9696-C0685202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4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47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32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5947"/>
    <w:rPr>
      <w:rFonts w:eastAsiaTheme="majorEastAsia" w:cstheme="majorBidi"/>
      <w:b/>
      <w:bCs/>
      <w:sz w:val="32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6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568"/>
  </w:style>
  <w:style w:type="paragraph" w:styleId="Piedepgina">
    <w:name w:val="footer"/>
    <w:basedOn w:val="Normal"/>
    <w:link w:val="PiedepginaCar"/>
    <w:uiPriority w:val="99"/>
    <w:unhideWhenUsed/>
    <w:rsid w:val="00C16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Carolina Figueroa Pérez</dc:creator>
  <cp:keywords/>
  <dc:description/>
  <cp:lastModifiedBy>Sandra Carolina Figueroa Pérez</cp:lastModifiedBy>
  <cp:revision>4</cp:revision>
  <dcterms:created xsi:type="dcterms:W3CDTF">2024-01-26T20:15:00Z</dcterms:created>
  <dcterms:modified xsi:type="dcterms:W3CDTF">2024-01-26T20:39:00Z</dcterms:modified>
</cp:coreProperties>
</file>